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46" w:rsidRDefault="00FB6646">
      <w:pPr>
        <w:spacing w:line="276" w:lineRule="auto"/>
      </w:pPr>
      <w:bookmarkStart w:id="0" w:name="_GoBack"/>
      <w:bookmarkEnd w:id="0"/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400"/>
        <w:gridCol w:w="6237"/>
      </w:tblGrid>
      <w:tr w:rsidR="00FB6646">
        <w:trPr>
          <w:trHeight w:val="34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34458E">
            <w:pPr>
              <w:spacing w:before="57"/>
              <w:ind w:right="283"/>
              <w:rPr>
                <w:b/>
                <w:color w:val="0E4194"/>
                <w:sz w:val="20"/>
                <w:szCs w:val="20"/>
              </w:rPr>
            </w:pPr>
            <w:r>
              <w:rPr>
                <w:b/>
                <w:color w:val="0E4194"/>
                <w:sz w:val="20"/>
                <w:szCs w:val="20"/>
              </w:rPr>
              <w:t>INFORMAZIONI PERSONALI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  <w:p w:rsidR="00FB6646" w:rsidRDefault="00FB6646"/>
          <w:p w:rsidR="00FB6646" w:rsidRDefault="00344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Alessandro Macioci</w:t>
            </w:r>
          </w:p>
          <w:p w:rsidR="00FB6646" w:rsidRDefault="00FB6646"/>
          <w:p w:rsidR="00FB6646" w:rsidRDefault="00FB6646"/>
        </w:tc>
      </w:tr>
      <w:tr w:rsidR="00FB6646">
        <w:trPr>
          <w:trHeight w:val="220"/>
          <w:jc w:val="center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>
            <w:pPr>
              <w:jc w:val="center"/>
            </w:pPr>
          </w:p>
        </w:tc>
      </w:tr>
      <w:tr w:rsidR="00FB6646">
        <w:trPr>
          <w:trHeight w:val="340"/>
          <w:jc w:val="center"/>
        </w:trPr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>
            <w:pPr>
              <w:ind w:right="283"/>
              <w:jc w:val="righ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</w:tc>
      </w:tr>
      <w:tr w:rsidR="00FB6646">
        <w:trPr>
          <w:trHeight w:val="340"/>
          <w:jc w:val="center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>
            <w:pPr>
              <w:tabs>
                <w:tab w:val="right" w:pos="8218"/>
              </w:tabs>
            </w:pPr>
          </w:p>
        </w:tc>
      </w:tr>
      <w:tr w:rsidR="00FB6646">
        <w:trPr>
          <w:trHeight w:val="340"/>
          <w:jc w:val="center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</w:tc>
      </w:tr>
      <w:tr w:rsidR="00FB6646">
        <w:trPr>
          <w:trHeight w:val="340"/>
          <w:jc w:val="center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</w:tc>
      </w:tr>
      <w:tr w:rsidR="00FB6646">
        <w:trPr>
          <w:trHeight w:val="400"/>
          <w:jc w:val="center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spacing w:before="85"/>
            </w:pPr>
          </w:p>
        </w:tc>
      </w:tr>
    </w:tbl>
    <w:p w:rsidR="00FB6646" w:rsidRDefault="00FB6646"/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92"/>
        <w:gridCol w:w="6746"/>
      </w:tblGrid>
      <w:tr w:rsidR="00FB6646">
        <w:trPr>
          <w:jc w:val="center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ATTIVITA’  PROFESSIONALE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>
            <w:pPr>
              <w:spacing w:after="240" w:line="360" w:lineRule="auto"/>
            </w:pPr>
          </w:p>
        </w:tc>
      </w:tr>
      <w:tr w:rsidR="00FB6646">
        <w:trPr>
          <w:jc w:val="center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8" w:after="240" w:line="360" w:lineRule="auto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2013 ad oggi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Conseguimento dell’abilitazione all’esercizio della professione forense.</w:t>
            </w:r>
          </w:p>
          <w:p w:rsidR="00FB6646" w:rsidRDefault="0034458E">
            <w:pPr>
              <w:spacing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Dottorando di ricerca in Diritto privato dal 2013 presso le </w:t>
            </w:r>
            <w:r>
              <w:rPr>
                <w:sz w:val="20"/>
                <w:szCs w:val="20"/>
              </w:rPr>
              <w:t>facoltà di Giurisprudenza ed Economia dell’Università “La Sapienza” in Roma. Titolo della tesi: cessione d’azienda e di un suo ramo</w:t>
            </w:r>
          </w:p>
          <w:p w:rsidR="00FB6646" w:rsidRDefault="0034458E">
            <w:pPr>
              <w:spacing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didattica: Assistenza ad esami, relatore in lezioni universitarie e seminari, autore di articoli di dottrina in com</w:t>
            </w:r>
            <w:r>
              <w:rPr>
                <w:sz w:val="20"/>
                <w:szCs w:val="20"/>
              </w:rPr>
              <w:t xml:space="preserve">mento al codice civile., partecipazione a numerosi convegni. </w:t>
            </w:r>
          </w:p>
          <w:p w:rsidR="00FB6646" w:rsidRDefault="0034458E">
            <w:pPr>
              <w:spacing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Relatore in corsi privati di preparazione all’esame di avvocato.</w:t>
            </w:r>
          </w:p>
        </w:tc>
      </w:tr>
      <w:tr w:rsidR="00FB6646">
        <w:trPr>
          <w:jc w:val="center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Istruzione e formazione</w:t>
            </w:r>
          </w:p>
          <w:p w:rsidR="00FB6646" w:rsidRDefault="0034458E">
            <w:pPr>
              <w:spacing w:before="28" w:line="360" w:lineRule="auto"/>
              <w:ind w:right="283"/>
              <w:jc w:val="center"/>
              <w:rPr>
                <w:color w:val="0E4194"/>
                <w:sz w:val="20"/>
                <w:szCs w:val="20"/>
              </w:rPr>
            </w:pPr>
            <w:r>
              <w:rPr>
                <w:color w:val="0E4194"/>
                <w:sz w:val="20"/>
                <w:szCs w:val="20"/>
              </w:rPr>
              <w:t xml:space="preserve">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8" w:line="360" w:lineRule="auto"/>
              <w:ind w:righ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Settembre al Dicembre 2015</w:t>
            </w:r>
          </w:p>
          <w:p w:rsidR="00FB6646" w:rsidRDefault="0034458E">
            <w:pPr>
              <w:spacing w:before="28" w:line="360" w:lineRule="auto"/>
              <w:ind w:righ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Partecipazione certificata (si veda attestato nell’ultima pagina del </w:t>
            </w:r>
            <w:r>
              <w:rPr>
                <w:sz w:val="20"/>
                <w:szCs w:val="20"/>
              </w:rPr>
              <w:t>C.V.) al Corso organizzato dall’Università La Sapienza, Roma, presieduto dall’Avv. dello Stato Federico Basilica, per la preparazione all’esame di abilitazione all’esercizio della professione forense</w:t>
            </w:r>
          </w:p>
          <w:p w:rsidR="00FB6646" w:rsidRDefault="00FB6646">
            <w:pPr>
              <w:spacing w:before="28" w:line="360" w:lineRule="auto"/>
              <w:ind w:right="283"/>
              <w:jc w:val="both"/>
            </w:pPr>
          </w:p>
          <w:p w:rsidR="00FB6646" w:rsidRDefault="0034458E">
            <w:pPr>
              <w:spacing w:before="28" w:line="360" w:lineRule="auto"/>
              <w:ind w:righ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2005 al 2013</w:t>
            </w:r>
          </w:p>
          <w:p w:rsidR="00FB6646" w:rsidRDefault="0034458E">
            <w:pPr>
              <w:spacing w:before="28" w:line="360" w:lineRule="auto"/>
              <w:ind w:righ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Laura magistrale in Giurisprudenza c</w:t>
            </w:r>
            <w:r>
              <w:rPr>
                <w:sz w:val="20"/>
                <w:szCs w:val="20"/>
              </w:rPr>
              <w:t>onseguita nell’Università “La  Sapienza” in Roma  . Voto: 110 e lode</w:t>
            </w:r>
          </w:p>
          <w:p w:rsidR="00FB6646" w:rsidRDefault="00FB6646">
            <w:pPr>
              <w:spacing w:line="360" w:lineRule="auto"/>
              <w:jc w:val="both"/>
            </w:pPr>
          </w:p>
          <w:p w:rsidR="00FB6646" w:rsidRDefault="0034458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2000 al 2005</w:t>
            </w:r>
          </w:p>
          <w:p w:rsidR="00FB6646" w:rsidRDefault="0034458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Maturità classica conseguita nel Liceo Classico “Alessandro Torlonia” in Avezzano (AQ): Votazione: 100/100</w:t>
            </w:r>
          </w:p>
          <w:p w:rsidR="00FB6646" w:rsidRDefault="00FB6646">
            <w:pPr>
              <w:spacing w:line="360" w:lineRule="auto"/>
            </w:pPr>
          </w:p>
        </w:tc>
      </w:tr>
    </w:tbl>
    <w:p w:rsidR="00FB6646" w:rsidRDefault="00FB6646">
      <w:pPr>
        <w:spacing w:after="240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363"/>
        <w:gridCol w:w="1183"/>
        <w:gridCol w:w="1161"/>
        <w:gridCol w:w="1205"/>
        <w:gridCol w:w="1201"/>
        <w:gridCol w:w="1573"/>
        <w:gridCol w:w="1975"/>
      </w:tblGrid>
      <w:tr w:rsidR="00FB6646">
        <w:trPr>
          <w:trHeight w:val="34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3445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Lingua Madre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jc w:val="center"/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jc w:val="center"/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jc w:val="center"/>
            </w:pPr>
          </w:p>
        </w:tc>
      </w:tr>
      <w:tr w:rsidR="00FB6646">
        <w:trPr>
          <w:trHeight w:val="34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/>
        </w:tc>
      </w:tr>
      <w:tr w:rsidR="00FB6646">
        <w:trPr>
          <w:trHeight w:val="34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34458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Altre lingue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FB6646" w:rsidRDefault="00FB6646"/>
        </w:tc>
        <w:tc>
          <w:tcPr>
            <w:tcW w:w="236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Comprensione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Parlato</w:t>
            </w:r>
          </w:p>
        </w:tc>
        <w:tc>
          <w:tcPr>
            <w:tcW w:w="19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Produzione Scritta</w:t>
            </w:r>
          </w:p>
        </w:tc>
      </w:tr>
      <w:tr w:rsidR="00FB6646">
        <w:trPr>
          <w:trHeight w:val="34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Ascolto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Lettura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Interazione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Produzione Orale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FB6646">
            <w:pPr>
              <w:jc w:val="center"/>
            </w:pPr>
          </w:p>
        </w:tc>
      </w:tr>
      <w:tr w:rsidR="00FB6646">
        <w:trPr>
          <w:trHeight w:val="34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jc w:val="center"/>
            </w:pPr>
          </w:p>
        </w:tc>
        <w:tc>
          <w:tcPr>
            <w:tcW w:w="118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6" w:rsidRDefault="00FB6646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B6646" w:rsidRDefault="0034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</w:p>
        </w:tc>
      </w:tr>
    </w:tbl>
    <w:p w:rsidR="00FB6646" w:rsidRDefault="00FB6646">
      <w:pPr>
        <w:spacing w:after="240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648"/>
        <w:gridCol w:w="6990"/>
      </w:tblGrid>
      <w:tr w:rsidR="00FB6646">
        <w:trPr>
          <w:trHeight w:val="340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 w:line="36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Competenze comunicative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Eccellenti competenze comunicative raffinate attraverso studi umanistici e scientifici.</w:t>
            </w:r>
          </w:p>
        </w:tc>
      </w:tr>
      <w:tr w:rsidR="00FB6646">
        <w:trPr>
          <w:trHeight w:val="340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 w:line="36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Competenze informatiche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Ottima conoscenza del pacchetto Office ed ottime capacità di navigazione in internet</w:t>
            </w:r>
          </w:p>
        </w:tc>
      </w:tr>
      <w:tr w:rsidR="00FB6646">
        <w:trPr>
          <w:trHeight w:val="340"/>
          <w:jc w:val="center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 w:line="36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Patente di guida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possesso di patente Cat. B</w:t>
            </w:r>
          </w:p>
        </w:tc>
      </w:tr>
    </w:tbl>
    <w:p w:rsidR="00FB6646" w:rsidRDefault="00FB6646"/>
    <w:p w:rsidR="00FB6646" w:rsidRDefault="00FB6646">
      <w:pPr>
        <w:pageBreakBefore/>
      </w:pPr>
    </w:p>
    <w:p w:rsidR="00FB6646" w:rsidRDefault="00FB6646"/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681"/>
        <w:gridCol w:w="6957"/>
      </w:tblGrid>
      <w:tr w:rsidR="00FB6646">
        <w:trPr>
          <w:trHeight w:val="340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34458E">
            <w:pPr>
              <w:spacing w:line="36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Ulteriori informazioni</w:t>
            </w:r>
          </w:p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2465"/>
            </w:tblGrid>
            <w:tr w:rsidR="00FB6646">
              <w:trPr>
                <w:jc w:val="right"/>
              </w:trPr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6646" w:rsidRDefault="00FB6646">
                  <w:pPr>
                    <w:spacing w:before="23" w:line="360" w:lineRule="auto"/>
                    <w:ind w:right="131"/>
                    <w:jc w:val="right"/>
                  </w:pPr>
                </w:p>
                <w:p w:rsidR="00FB6646" w:rsidRDefault="0034458E">
                  <w:pPr>
                    <w:spacing w:before="23" w:line="360" w:lineRule="auto"/>
                    <w:ind w:right="131"/>
                    <w:jc w:val="right"/>
                    <w:rPr>
                      <w:i/>
                      <w:color w:val="0E4194"/>
                      <w:sz w:val="28"/>
                      <w:szCs w:val="28"/>
                    </w:rPr>
                  </w:pPr>
                  <w:r>
                    <w:rPr>
                      <w:i/>
                      <w:color w:val="0E4194"/>
                      <w:sz w:val="28"/>
                      <w:szCs w:val="28"/>
                    </w:rPr>
                    <w:t>Pubblicazioni</w:t>
                  </w:r>
                </w:p>
                <w:p w:rsidR="00FB6646" w:rsidRDefault="00FB6646">
                  <w:pPr>
                    <w:spacing w:before="23" w:line="360" w:lineRule="auto"/>
                    <w:ind w:right="131"/>
                    <w:jc w:val="right"/>
                  </w:pPr>
                </w:p>
                <w:p w:rsidR="00FB6646" w:rsidRDefault="00FB6646">
                  <w:pPr>
                    <w:spacing w:before="23" w:line="360" w:lineRule="auto"/>
                    <w:ind w:right="131"/>
                    <w:jc w:val="right"/>
                  </w:pPr>
                </w:p>
                <w:p w:rsidR="00FB6646" w:rsidRDefault="00FB6646">
                  <w:pPr>
                    <w:spacing w:before="23" w:line="360" w:lineRule="auto"/>
                    <w:ind w:right="131"/>
                    <w:jc w:val="right"/>
                  </w:pPr>
                </w:p>
                <w:p w:rsidR="00FB6646" w:rsidRDefault="0034458E">
                  <w:pPr>
                    <w:spacing w:before="23" w:line="360" w:lineRule="auto"/>
                    <w:ind w:right="131"/>
                    <w:rPr>
                      <w:i/>
                      <w:color w:val="0E4194"/>
                      <w:sz w:val="28"/>
                      <w:szCs w:val="28"/>
                    </w:rPr>
                  </w:pPr>
                  <w:r>
                    <w:rPr>
                      <w:i/>
                      <w:color w:val="0E4194"/>
                      <w:sz w:val="28"/>
                      <w:szCs w:val="28"/>
                    </w:rPr>
                    <w:t xml:space="preserve">       </w:t>
                  </w:r>
                </w:p>
                <w:p w:rsidR="00FB6646" w:rsidRDefault="0034458E">
                  <w:pPr>
                    <w:spacing w:before="23" w:line="360" w:lineRule="auto"/>
                    <w:ind w:right="131"/>
                    <w:rPr>
                      <w:i/>
                      <w:color w:val="0E4194"/>
                      <w:sz w:val="28"/>
                      <w:szCs w:val="28"/>
                    </w:rPr>
                  </w:pPr>
                  <w:r>
                    <w:rPr>
                      <w:i/>
                      <w:color w:val="0E4194"/>
                      <w:sz w:val="28"/>
                      <w:szCs w:val="28"/>
                    </w:rPr>
                    <w:t xml:space="preserve">       Seminari</w:t>
                  </w:r>
                </w:p>
                <w:p w:rsidR="00FB6646" w:rsidRDefault="00FB6646">
                  <w:pPr>
                    <w:spacing w:before="23" w:line="360" w:lineRule="auto"/>
                    <w:ind w:right="131"/>
                    <w:jc w:val="right"/>
                  </w:pPr>
                </w:p>
                <w:p w:rsidR="00FB6646" w:rsidRDefault="0034458E">
                  <w:pPr>
                    <w:spacing w:before="23" w:line="360" w:lineRule="auto"/>
                    <w:ind w:right="131"/>
                    <w:jc w:val="right"/>
                    <w:rPr>
                      <w:i/>
                      <w:color w:val="0E4194"/>
                      <w:sz w:val="20"/>
                      <w:szCs w:val="20"/>
                    </w:rPr>
                  </w:pPr>
                  <w:r>
                    <w:rPr>
                      <w:i/>
                      <w:color w:val="0E4194"/>
                      <w:sz w:val="20"/>
                      <w:szCs w:val="20"/>
                    </w:rPr>
                    <w:t xml:space="preserve"> </w:t>
                  </w:r>
                </w:p>
                <w:p w:rsidR="00FB6646" w:rsidRDefault="00FB6646">
                  <w:pPr>
                    <w:spacing w:before="23" w:line="360" w:lineRule="auto"/>
                    <w:ind w:right="131"/>
                    <w:jc w:val="center"/>
                  </w:pPr>
                </w:p>
              </w:tc>
            </w:tr>
          </w:tbl>
          <w:p w:rsidR="00FB6646" w:rsidRDefault="0034458E">
            <w:pPr>
              <w:spacing w:line="36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646" w:rsidRDefault="00FB6646"/>
          <w:p w:rsidR="00FB6646" w:rsidRDefault="00FB6646"/>
          <w:p w:rsidR="00FB6646" w:rsidRDefault="00FB6646"/>
          <w:p w:rsidR="00FB6646" w:rsidRDefault="0034458E">
            <w:pPr>
              <w:spacing w:line="360" w:lineRule="auto"/>
              <w:jc w:val="both"/>
              <w:rPr>
                <w:b/>
                <w:color w:val="283434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Commenti al Codice delle successioni e donazioni </w:t>
            </w:r>
            <w:r>
              <w:rPr>
                <w:b/>
                <w:color w:val="283434"/>
                <w:sz w:val="20"/>
                <w:szCs w:val="20"/>
              </w:rPr>
              <w:t>a cura di Bonilini     Giovanni, Confortini Massimo, Mariconda Gennaro — UTET GIURIDICA — Anno 2015:</w:t>
            </w:r>
          </w:p>
          <w:p w:rsidR="00FB6646" w:rsidRPr="008374AF" w:rsidRDefault="0034458E">
            <w:pPr>
              <w:widowControl/>
              <w:spacing w:before="100" w:after="10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374AF">
              <w:rPr>
                <w:b/>
                <w:sz w:val="20"/>
                <w:szCs w:val="20"/>
                <w:lang w:val="en-US"/>
              </w:rPr>
              <w:t>Art. 1, nn. 1; 2</w:t>
            </w:r>
            <w:r w:rsidRPr="008374AF">
              <w:rPr>
                <w:sz w:val="20"/>
                <w:szCs w:val="20"/>
                <w:lang w:val="en-US"/>
              </w:rPr>
              <w:t xml:space="preserve"> e 4 RDL 14-7-1937, n. 1666; </w:t>
            </w:r>
            <w:r w:rsidRPr="008374AF">
              <w:rPr>
                <w:b/>
                <w:sz w:val="20"/>
                <w:szCs w:val="20"/>
                <w:lang w:val="en-US"/>
              </w:rPr>
              <w:t>art. 4</w:t>
            </w:r>
            <w:r w:rsidRPr="008374AF">
              <w:rPr>
                <w:sz w:val="20"/>
                <w:szCs w:val="20"/>
                <w:lang w:val="en-US"/>
              </w:rPr>
              <w:t xml:space="preserve"> DM 25-1-1996, n. 115; </w:t>
            </w:r>
            <w:r w:rsidRPr="008374AF">
              <w:rPr>
                <w:b/>
                <w:sz w:val="20"/>
                <w:szCs w:val="20"/>
                <w:lang w:val="en-US"/>
              </w:rPr>
              <w:t>art. 3</w:t>
            </w:r>
            <w:r w:rsidRPr="008374AF">
              <w:rPr>
                <w:sz w:val="20"/>
                <w:szCs w:val="20"/>
                <w:lang w:val="en-US"/>
              </w:rPr>
              <w:t xml:space="preserve"> DPCM 6-12-1996, n. 694</w:t>
            </w:r>
            <w:r w:rsidRPr="008374AF">
              <w:rPr>
                <w:b/>
                <w:sz w:val="20"/>
                <w:szCs w:val="20"/>
                <w:lang w:val="en-US"/>
              </w:rPr>
              <w:t xml:space="preserve">;  </w:t>
            </w:r>
            <w:r w:rsidRPr="008374AF">
              <w:rPr>
                <w:b/>
                <w:sz w:val="20"/>
                <w:szCs w:val="20"/>
                <w:lang w:val="en-US"/>
              </w:rPr>
              <w:t>art. 20, 21, 22, 23</w:t>
            </w:r>
            <w:r w:rsidRPr="008374AF">
              <w:rPr>
                <w:sz w:val="20"/>
                <w:szCs w:val="20"/>
                <w:lang w:val="en-US"/>
              </w:rPr>
              <w:t xml:space="preserve"> DLGS 7-3-2005, n. 82</w:t>
            </w:r>
          </w:p>
          <w:p w:rsidR="00FB6646" w:rsidRPr="008374AF" w:rsidRDefault="00FB6646">
            <w:pPr>
              <w:spacing w:line="360" w:lineRule="auto"/>
              <w:jc w:val="both"/>
              <w:rPr>
                <w:lang w:val="en-US"/>
              </w:rPr>
            </w:pPr>
          </w:p>
          <w:p w:rsidR="00FB6646" w:rsidRPr="008374AF" w:rsidRDefault="00FB6646">
            <w:pPr>
              <w:spacing w:line="360" w:lineRule="auto"/>
              <w:jc w:val="both"/>
              <w:rPr>
                <w:lang w:val="en-US"/>
              </w:rPr>
            </w:pP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  “La proprietà e i modi d’acquisto”</w:t>
            </w: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     “Divisione e collazione”</w:t>
            </w: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     “Eredità e legato. Il testamento”</w:t>
            </w: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     “ Il danno patrimoniale e non patrimoniale”</w:t>
            </w: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     “ Le garanzie reali e personali”</w:t>
            </w: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      </w:t>
            </w:r>
            <w:r>
              <w:rPr>
                <w:sz w:val="20"/>
                <w:szCs w:val="20"/>
              </w:rPr>
              <w:t xml:space="preserve"> “ Il patto commissorio”</w:t>
            </w:r>
          </w:p>
          <w:p w:rsidR="00FB6646" w:rsidRDefault="0034458E">
            <w:pPr>
              <w:numPr>
                <w:ilvl w:val="0"/>
                <w:numId w:val="1"/>
              </w:numPr>
              <w:spacing w:line="36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     “ Il testamento e la sua invalidità”</w:t>
            </w:r>
          </w:p>
          <w:p w:rsidR="00FB6646" w:rsidRDefault="00FB6646">
            <w:pPr>
              <w:spacing w:line="360" w:lineRule="auto"/>
              <w:jc w:val="both"/>
            </w:pPr>
          </w:p>
          <w:p w:rsidR="00FB6646" w:rsidRDefault="00FB6646">
            <w:pPr>
              <w:spacing w:line="360" w:lineRule="auto"/>
            </w:pPr>
          </w:p>
          <w:p w:rsidR="00FB6646" w:rsidRDefault="00FB6646">
            <w:pPr>
              <w:spacing w:before="240" w:after="240" w:line="360" w:lineRule="auto"/>
            </w:pPr>
          </w:p>
        </w:tc>
      </w:tr>
    </w:tbl>
    <w:p w:rsidR="00FB6646" w:rsidRDefault="00FB6646">
      <w:pPr>
        <w:spacing w:before="240" w:after="240"/>
      </w:pPr>
    </w:p>
    <w:p w:rsidR="00FB6646" w:rsidRDefault="00FB6646">
      <w:pPr>
        <w:spacing w:before="240" w:after="240"/>
      </w:pPr>
    </w:p>
    <w:p w:rsidR="00FB6646" w:rsidRDefault="00FB6646"/>
    <w:sectPr w:rsidR="00FB6646">
      <w:headerReference w:type="default" r:id="rId7"/>
      <w:footerReference w:type="default" r:id="rId8"/>
      <w:pgSz w:w="11906" w:h="16838"/>
      <w:pgMar w:top="1644" w:right="850" w:bottom="1474" w:left="850" w:header="720" w:footer="720" w:gutter="0"/>
      <w:cols w:space="720"/>
      <w:formProt w:val="0"/>
      <w:docGrid w:linePitch="24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8E" w:rsidRDefault="0034458E">
      <w:pPr>
        <w:spacing w:line="240" w:lineRule="auto"/>
      </w:pPr>
      <w:r>
        <w:separator/>
      </w:r>
    </w:p>
  </w:endnote>
  <w:endnote w:type="continuationSeparator" w:id="0">
    <w:p w:rsidR="0034458E" w:rsidRDefault="00344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46" w:rsidRDefault="0034458E">
    <w:pPr>
      <w:tabs>
        <w:tab w:val="left" w:pos="2835"/>
        <w:tab w:val="right" w:pos="10375"/>
      </w:tabs>
      <w:spacing w:after="720"/>
      <w:rPr>
        <w:rFonts w:ascii="Arimo" w:eastAsia="Arimo" w:hAnsi="Arimo" w:cs="Arimo"/>
        <w:color w:val="26B4EA"/>
        <w:sz w:val="14"/>
        <w:szCs w:val="14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</w:t>
    </w:r>
    <w:r>
      <w:rPr>
        <w:rFonts w:ascii="Arimo" w:eastAsia="Arimo" w:hAnsi="Arimo" w:cs="Arimo"/>
        <w:sz w:val="14"/>
        <w:szCs w:val="14"/>
      </w:rPr>
      <w:t xml:space="preserve">Unione europea, 2002-2013 | http://europass.cedefop.europa.eu </w:t>
    </w:r>
    <w:r>
      <w:rPr>
        <w:rFonts w:ascii="Arimo" w:eastAsia="Arimo" w:hAnsi="Arimo" w:cs="Arimo"/>
        <w:sz w:val="14"/>
        <w:szCs w:val="14"/>
      </w:rPr>
      <w:tab/>
    </w:r>
    <w:r>
      <w:rPr>
        <w:rFonts w:ascii="Arimo" w:eastAsia="Arimo" w:hAnsi="Arimo" w:cs="Arimo"/>
        <w:sz w:val="14"/>
        <w:szCs w:val="14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8374AF">
      <w:rPr>
        <w:noProof/>
      </w:rPr>
      <w:t>2</w:t>
    </w:r>
    <w:r>
      <w:fldChar w:fldCharType="end"/>
    </w:r>
    <w:r>
      <w:rPr>
        <w:rFonts w:ascii="Arimo" w:eastAsia="Arimo" w:hAnsi="Arimo" w:cs="Arimo"/>
        <w:sz w:val="14"/>
        <w:szCs w:val="14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8374AF">
      <w:rPr>
        <w:noProof/>
      </w:rPr>
      <w:t>3</w:t>
    </w:r>
    <w: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8E" w:rsidRDefault="0034458E">
      <w:pPr>
        <w:spacing w:line="240" w:lineRule="auto"/>
      </w:pPr>
      <w:r>
        <w:separator/>
      </w:r>
    </w:p>
  </w:footnote>
  <w:footnote w:type="continuationSeparator" w:id="0">
    <w:p w:rsidR="0034458E" w:rsidRDefault="00344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46" w:rsidRDefault="0034458E">
    <w:pPr>
      <w:tabs>
        <w:tab w:val="left" w:pos="2835"/>
        <w:tab w:val="right" w:pos="10350"/>
      </w:tabs>
      <w:spacing w:before="720"/>
      <w:jc w:val="right"/>
      <w:rPr>
        <w:b/>
        <w:color w:val="1593CB"/>
        <w:sz w:val="32"/>
        <w:szCs w:val="32"/>
      </w:rPr>
    </w:pPr>
    <w:r>
      <w:rPr>
        <w:color w:val="1593CB"/>
        <w:sz w:val="20"/>
        <w:szCs w:val="20"/>
      </w:rPr>
      <w:t xml:space="preserve"> </w:t>
    </w:r>
    <w:r>
      <w:rPr>
        <w:color w:val="1593CB"/>
        <w:sz w:val="20"/>
        <w:szCs w:val="20"/>
      </w:rPr>
      <w:tab/>
      <w:t xml:space="preserve">                   </w:t>
    </w:r>
    <w:r>
      <w:rPr>
        <w:b/>
        <w:color w:val="1593CB"/>
        <w:sz w:val="32"/>
        <w:szCs w:val="32"/>
      </w:rPr>
      <w:t>Curriculum Vitae</w:t>
    </w:r>
    <w:r>
      <w:rPr>
        <w:b/>
        <w:color w:val="1593CB"/>
        <w:sz w:val="32"/>
        <w:szCs w:val="32"/>
      </w:rPr>
      <w:tab/>
      <w:t xml:space="preserve"> </w:t>
    </w:r>
    <w:r>
      <w:rPr>
        <w:b/>
        <w:noProof/>
        <w:color w:val="1593CB"/>
        <w:sz w:val="32"/>
        <w:szCs w:val="32"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91235" cy="28575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660B1"/>
    <w:multiLevelType w:val="multilevel"/>
    <w:tmpl w:val="60EA67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0810DC"/>
    <w:multiLevelType w:val="multilevel"/>
    <w:tmpl w:val="F0269E40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cs="Arial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46"/>
    <w:rsid w:val="0034458E"/>
    <w:rsid w:val="008374AF"/>
    <w:rsid w:val="00F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D99FC-5A60-4346-84F8-8B2AA22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suppressAutoHyphens/>
      <w:spacing w:after="0" w:line="100" w:lineRule="atLeast"/>
    </w:pPr>
    <w:rPr>
      <w:rFonts w:ascii="Arial" w:eastAsia="Arial" w:hAnsi="Arial" w:cs="Arial"/>
      <w:color w:val="3F3A38"/>
      <w:sz w:val="16"/>
      <w:szCs w:val="16"/>
      <w:lang w:eastAsia="zh-CN" w:bidi="hi-IN"/>
    </w:rPr>
  </w:style>
  <w:style w:type="paragraph" w:styleId="Titolo1">
    <w:name w:val="heading 1"/>
    <w:basedOn w:val="LO-normal"/>
    <w:pPr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pPr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pPr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pPr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pPr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pPr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position w:val="0"/>
      <w:sz w:val="20"/>
      <w:szCs w:val="20"/>
      <w:vertAlign w:val="baseline"/>
    </w:rPr>
  </w:style>
  <w:style w:type="paragraph" w:styleId="Titolo">
    <w:name w:val="Title"/>
    <w:basedOn w:val="Normale"/>
    <w:next w:val="Corpodeltesto"/>
    <w:pPr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O-normal">
    <w:name w:val="LO-normal"/>
    <w:pPr>
      <w:keepNext/>
      <w:suppressAutoHyphens/>
      <w:spacing w:after="0" w:line="100" w:lineRule="atLeast"/>
    </w:pPr>
    <w:rPr>
      <w:rFonts w:ascii="Arial" w:eastAsia="Arial" w:hAnsi="Arial" w:cs="Arial"/>
      <w:color w:val="3F3A38"/>
      <w:sz w:val="16"/>
      <w:szCs w:val="16"/>
      <w:lang w:eastAsia="zh-CN" w:bidi="hi-IN"/>
    </w:rPr>
  </w:style>
  <w:style w:type="paragraph" w:customStyle="1" w:styleId="Titoloprincipale">
    <w:name w:val="Titolo principale"/>
    <w:basedOn w:val="LO-normal"/>
    <w:pPr>
      <w:keepLines/>
      <w:widowControl w:val="0"/>
      <w:spacing w:before="480" w:after="120"/>
    </w:pPr>
    <w:rPr>
      <w:b/>
      <w:sz w:val="72"/>
      <w:szCs w:val="72"/>
    </w:rPr>
  </w:style>
  <w:style w:type="paragraph" w:styleId="Sottotitolo">
    <w:name w:val="Subtitle"/>
    <w:basedOn w:val="LO-normal"/>
    <w:pPr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2016-11-15T12:20:00Z</dcterms:created>
  <dcterms:modified xsi:type="dcterms:W3CDTF">2016-11-15T12:20:00Z</dcterms:modified>
</cp:coreProperties>
</file>